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3F4C" w14:textId="77777777" w:rsidR="00652C89" w:rsidRDefault="00652C89" w:rsidP="00652C89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W w:w="9924" w:type="dxa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085"/>
        <w:gridCol w:w="1341"/>
        <w:gridCol w:w="3654"/>
      </w:tblGrid>
      <w:tr w:rsidR="00652C89" w14:paraId="253D1952" w14:textId="77777777" w:rsidTr="00652C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DB74D6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會議名稱</w:t>
            </w:r>
          </w:p>
        </w:tc>
        <w:tc>
          <w:tcPr>
            <w:tcW w:w="808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E0F49" w14:textId="77777777" w:rsidR="00652C89" w:rsidRDefault="00652C8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專業社群會議（六）</w:t>
            </w:r>
          </w:p>
        </w:tc>
      </w:tr>
      <w:tr w:rsidR="00652C89" w14:paraId="58819D2D" w14:textId="77777777" w:rsidTr="00652C8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01224D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會議時間</w:t>
            </w:r>
          </w:p>
        </w:tc>
        <w:tc>
          <w:tcPr>
            <w:tcW w:w="30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DB0B3" w14:textId="77777777" w:rsidR="00652C89" w:rsidRDefault="00652C89" w:rsidP="00652C89">
            <w:pPr>
              <w:pStyle w:val="Default"/>
              <w:ind w:left="97" w:hangingChars="42" w:hanging="97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 xml:space="preserve">9 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 xml:space="preserve">28 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09CDE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會議地點</w:t>
            </w:r>
          </w:p>
        </w:tc>
        <w:tc>
          <w:tcPr>
            <w:tcW w:w="36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4EC252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652C89" w14:paraId="3D6BF782" w14:textId="77777777" w:rsidTr="00652C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77BBEF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主席</w:t>
            </w:r>
            <w:r w:rsidRPr="00652C89">
              <w:rPr>
                <w:b/>
                <w:bCs/>
                <w:sz w:val="23"/>
                <w:szCs w:val="23"/>
              </w:rPr>
              <w:t>(</w:t>
            </w:r>
            <w:r w:rsidRPr="00652C89">
              <w:rPr>
                <w:rFonts w:hint="eastAsia"/>
                <w:b/>
                <w:bCs/>
                <w:sz w:val="23"/>
                <w:szCs w:val="23"/>
              </w:rPr>
              <w:t>主持人</w:t>
            </w:r>
            <w:r w:rsidRPr="00652C89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0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1B1F1" w14:textId="77777777" w:rsidR="00652C89" w:rsidRDefault="00652C8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4369B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記錄</w:t>
            </w:r>
          </w:p>
        </w:tc>
        <w:tc>
          <w:tcPr>
            <w:tcW w:w="36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6F99CB" w14:textId="77777777" w:rsidR="00652C89" w:rsidRDefault="00652C8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顏意親</w:t>
            </w:r>
          </w:p>
        </w:tc>
      </w:tr>
      <w:tr w:rsidR="00652C89" w14:paraId="650708B0" w14:textId="77777777" w:rsidTr="00652C8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030C51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出（列）席人員</w:t>
            </w:r>
          </w:p>
        </w:tc>
        <w:tc>
          <w:tcPr>
            <w:tcW w:w="808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FC7450" w14:textId="77777777" w:rsidR="00652C89" w:rsidRDefault="00652C8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鍾屏蘭教授、朱書萱副教授、楊裕貿副教授、高敬堯助理教授、林登順教授、陳光明教授、許秀霞副教授、黃碧智主任、黃偉菖老師、蔡櫻芬主任</w:t>
            </w:r>
          </w:p>
        </w:tc>
      </w:tr>
      <w:tr w:rsidR="00652C89" w14:paraId="30D9A950" w14:textId="77777777" w:rsidTr="00652C8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E529DE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主旨</w:t>
            </w:r>
          </w:p>
        </w:tc>
        <w:tc>
          <w:tcPr>
            <w:tcW w:w="808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8412FF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省思備觀議課的規劃與實施，討論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學期的臨床教學與協同教學，討論專書著作。</w:t>
            </w:r>
          </w:p>
        </w:tc>
      </w:tr>
      <w:tr w:rsidR="00652C89" w14:paraId="4536CF04" w14:textId="77777777" w:rsidTr="00652C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24" w:type="dxa"/>
            <w:gridSpan w:val="4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29413263" w14:textId="77777777" w:rsidR="00652C89" w:rsidRPr="00652C89" w:rsidRDefault="00652C89" w:rsidP="00652C8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52C89">
              <w:rPr>
                <w:rFonts w:hint="eastAsia"/>
                <w:b/>
                <w:bCs/>
                <w:sz w:val="23"/>
                <w:szCs w:val="23"/>
              </w:rPr>
              <w:t>會議內容</w:t>
            </w:r>
          </w:p>
        </w:tc>
      </w:tr>
      <w:tr w:rsidR="00652C89" w14:paraId="0ADD269A" w14:textId="77777777" w:rsidTr="00652C89">
        <w:tblPrEx>
          <w:tblCellMar>
            <w:top w:w="0" w:type="dxa"/>
            <w:bottom w:w="0" w:type="dxa"/>
          </w:tblCellMar>
        </w:tblPrEx>
        <w:trPr>
          <w:trHeight w:val="4275"/>
        </w:trPr>
        <w:tc>
          <w:tcPr>
            <w:tcW w:w="9924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DF76EA8" w14:textId="77777777" w:rsidR="00652C89" w:rsidRDefault="00652C8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會議內容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685CECD5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省思備觀議課的規劃與實施</w:t>
            </w:r>
          </w:p>
          <w:p w14:paraId="4FF6A45C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、七八月梯次課程時間安排如下</w:t>
            </w:r>
          </w:p>
          <w:p w14:paraId="440C365D" w14:textId="77777777" w:rsidR="00652C89" w:rsidRDefault="00652C8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、備觀議課活動的省思與討論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—</w:t>
            </w:r>
            <w:r>
              <w:rPr>
                <w:rFonts w:hAnsi="Times New Roman" w:hint="eastAsia"/>
                <w:sz w:val="23"/>
                <w:szCs w:val="23"/>
              </w:rPr>
              <w:t>對未來課程規劃的建議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238E5891" w14:textId="77777777" w:rsidR="00652C89" w:rsidRDefault="00652C89" w:rsidP="00652C89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(1)</w:t>
            </w:r>
            <w:r>
              <w:rPr>
                <w:rFonts w:hAnsi="Times New Roman" w:hint="eastAsia"/>
                <w:sz w:val="23"/>
                <w:szCs w:val="23"/>
              </w:rPr>
              <w:t>學生人數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建議一位師長最多個別指導兩位學生。</w:t>
            </w:r>
          </w:p>
          <w:p w14:paraId="26E870CB" w14:textId="77777777" w:rsidR="00652C89" w:rsidRDefault="00652C89" w:rsidP="00652C89">
            <w:pPr>
              <w:pStyle w:val="Default"/>
              <w:ind w:leftChars="100" w:left="2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(2)</w:t>
            </w:r>
            <w:r>
              <w:rPr>
                <w:rFonts w:hAnsi="Times New Roman" w:hint="eastAsia"/>
                <w:sz w:val="23"/>
                <w:szCs w:val="23"/>
              </w:rPr>
              <w:t>活動安排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3E3BE57A" w14:textId="77777777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(2)-01 </w:t>
            </w:r>
            <w:r>
              <w:rPr>
                <w:rFonts w:hAnsi="Times New Roman" w:hint="eastAsia"/>
                <w:sz w:val="23"/>
                <w:szCs w:val="23"/>
              </w:rPr>
              <w:t>可在五月或六月先辦理研習說明會</w:t>
            </w:r>
          </w:p>
          <w:p w14:paraId="1ADF48F9" w14:textId="77777777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(2)-02 </w:t>
            </w:r>
            <w:r>
              <w:rPr>
                <w:rFonts w:hAnsi="Times New Roman" w:hint="eastAsia"/>
                <w:sz w:val="23"/>
                <w:szCs w:val="23"/>
              </w:rPr>
              <w:t>可開放讓學生跨校參與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若人數過多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可採報名甄選機制</w:t>
            </w:r>
          </w:p>
          <w:p w14:paraId="02FF2F29" w14:textId="77777777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(2)-03 </w:t>
            </w:r>
            <w:r>
              <w:rPr>
                <w:rFonts w:hAnsi="Times New Roman" w:hint="eastAsia"/>
                <w:sz w:val="23"/>
                <w:szCs w:val="23"/>
              </w:rPr>
              <w:t>建議增加觀議課時間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由原一天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改為兩天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),</w:t>
            </w:r>
            <w:r>
              <w:rPr>
                <w:rFonts w:hAnsi="Times New Roman" w:hint="eastAsia"/>
                <w:sz w:val="23"/>
                <w:szCs w:val="23"/>
              </w:rPr>
              <w:t>一教學流程為兩小時的議課時間</w:t>
            </w:r>
          </w:p>
          <w:p w14:paraId="12C0DBF0" w14:textId="656F8532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 w:rsidRPr="00652C89">
              <w:rPr>
                <w:rFonts w:hAnsi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5D4E0831" wp14:editId="331095F8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281940</wp:posOffset>
                  </wp:positionV>
                  <wp:extent cx="4034790" cy="1219200"/>
                  <wp:effectExtent l="0" t="0" r="381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7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(2)-04 </w:t>
            </w:r>
            <w:r>
              <w:rPr>
                <w:rFonts w:hAnsi="Times New Roman" w:hint="eastAsia"/>
                <w:sz w:val="23"/>
                <w:szCs w:val="23"/>
              </w:rPr>
              <w:t>建議將學生分成兩組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採隔週上課的形式授課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說明如下</w:t>
            </w:r>
          </w:p>
          <w:p w14:paraId="0BC247D5" w14:textId="77777777" w:rsidR="00652C89" w:rsidRDefault="00652C89" w:rsidP="00652C89">
            <w:pPr>
              <w:pStyle w:val="Default"/>
              <w:ind w:leftChars="100" w:left="2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(3)</w:t>
            </w:r>
            <w:r>
              <w:rPr>
                <w:rFonts w:hAnsi="Times New Roman" w:hint="eastAsia"/>
                <w:sz w:val="23"/>
                <w:szCs w:val="23"/>
              </w:rPr>
              <w:t>課程規劃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3B2AFAFC" w14:textId="3E35B93B" w:rsidR="00652C89" w:rsidRP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(3)-01 </w:t>
            </w:r>
            <w:r>
              <w:rPr>
                <w:rFonts w:hAnsi="Times New Roman" w:hint="eastAsia"/>
                <w:sz w:val="23"/>
                <w:szCs w:val="23"/>
              </w:rPr>
              <w:t>疫情期間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考慮學生無法借到教室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僅能在家錄製教學影片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hAnsi="Times New Roman" w:hint="eastAsia"/>
                <w:sz w:val="23"/>
                <w:szCs w:val="23"/>
              </w:rPr>
              <w:t>故教學上可考慮使用教具來呈現</w:t>
            </w:r>
          </w:p>
          <w:p w14:paraId="329BF77A" w14:textId="2E0FEB25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(3)-02 </w:t>
            </w:r>
            <w:r>
              <w:rPr>
                <w:rFonts w:hAnsi="Times New Roman" w:hint="eastAsia"/>
                <w:sz w:val="23"/>
                <w:szCs w:val="23"/>
              </w:rPr>
              <w:t>可在課中介紹「教育部師資培育資源整合平臺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hAnsi="Times New Roman" w:hint="eastAsia"/>
                <w:sz w:val="23"/>
                <w:szCs w:val="23"/>
              </w:rPr>
              <w:t>教學影音網站」給學生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增加其對教學實務的了解與認識</w:t>
            </w:r>
          </w:p>
          <w:p w14:paraId="2471DB10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臨床教學、協同教學</w:t>
            </w:r>
          </w:p>
          <w:p w14:paraId="3EEDC330" w14:textId="77777777" w:rsidR="00652C89" w:rsidRDefault="00652C89" w:rsidP="00652C89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110-1</w:t>
            </w:r>
            <w:r>
              <w:rPr>
                <w:rFonts w:hAnsi="Times New Roman" w:hint="eastAsia"/>
                <w:sz w:val="23"/>
                <w:szCs w:val="23"/>
              </w:rPr>
              <w:t>學期邀請其他相關專長的教師至課堂上課。因疫情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也可以採線上教學形式。</w:t>
            </w:r>
          </w:p>
          <w:p w14:paraId="4265E220" w14:textId="77777777" w:rsidR="00652C89" w:rsidRDefault="00652C89" w:rsidP="00652C89">
            <w:pPr>
              <w:pStyle w:val="Default"/>
              <w:ind w:leftChars="100" w:left="2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110-1</w:t>
            </w:r>
            <w:r>
              <w:rPr>
                <w:rFonts w:hAnsi="Times New Roman" w:hint="eastAsia"/>
                <w:sz w:val="23"/>
                <w:szCs w:val="23"/>
              </w:rPr>
              <w:t>學期的協同教學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59A0CFB9" w14:textId="77777777" w:rsid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(1) </w:t>
            </w:r>
            <w:r>
              <w:rPr>
                <w:rFonts w:hAnsi="Times New Roman" w:hint="eastAsia"/>
                <w:sz w:val="23"/>
                <w:szCs w:val="23"/>
              </w:rPr>
              <w:t>高敬堯老師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(10/8</w:t>
            </w:r>
            <w:r>
              <w:rPr>
                <w:rFonts w:hAnsi="Times New Roman" w:hint="eastAsia"/>
                <w:sz w:val="23"/>
                <w:szCs w:val="23"/>
              </w:rPr>
              <w:t>邀請碧智老師協同教學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094DCDD8" w14:textId="77777777" w:rsid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(2) </w:t>
            </w:r>
            <w:r>
              <w:rPr>
                <w:rFonts w:hAnsi="Times New Roman" w:hint="eastAsia"/>
                <w:sz w:val="23"/>
                <w:szCs w:val="23"/>
              </w:rPr>
              <w:t>許秀霞老師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(9/23</w:t>
            </w:r>
            <w:r>
              <w:rPr>
                <w:rFonts w:hAnsi="Times New Roman" w:hint="eastAsia"/>
                <w:sz w:val="23"/>
                <w:szCs w:val="23"/>
              </w:rPr>
              <w:t>邀請敬堯老師協同教學、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10/14</w:t>
            </w:r>
            <w:r>
              <w:rPr>
                <w:rFonts w:hAnsi="Times New Roman" w:hint="eastAsia"/>
                <w:sz w:val="23"/>
                <w:szCs w:val="23"/>
              </w:rPr>
              <w:t>邀請碧智老師協同教學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08DE7E96" w14:textId="77777777" w:rsid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(3) </w:t>
            </w:r>
            <w:r>
              <w:rPr>
                <w:rFonts w:hAnsi="Times New Roman" w:hint="eastAsia"/>
                <w:sz w:val="23"/>
                <w:szCs w:val="23"/>
              </w:rPr>
              <w:t>黃碧智老師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(12/2</w:t>
            </w:r>
            <w:r>
              <w:rPr>
                <w:rFonts w:hAnsi="Times New Roman" w:hint="eastAsia"/>
                <w:sz w:val="23"/>
                <w:szCs w:val="23"/>
              </w:rPr>
              <w:t>邀請偉菖老師協同教學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5AAAECEC" w14:textId="77777777" w:rsid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(4) </w:t>
            </w:r>
            <w:r>
              <w:rPr>
                <w:rFonts w:hAnsi="Times New Roman" w:hint="eastAsia"/>
                <w:sz w:val="23"/>
                <w:szCs w:val="23"/>
              </w:rPr>
              <w:t>張瑞菊老師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(11/29</w:t>
            </w:r>
            <w:r>
              <w:rPr>
                <w:rFonts w:hAnsi="Times New Roman" w:hint="eastAsia"/>
                <w:sz w:val="23"/>
                <w:szCs w:val="23"/>
              </w:rPr>
              <w:t>邀請碧智老師協同教學「閱讀理解」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,12/6</w:t>
            </w:r>
            <w:r>
              <w:rPr>
                <w:rFonts w:hAnsi="Times New Roman" w:hint="eastAsia"/>
                <w:sz w:val="23"/>
                <w:szCs w:val="23"/>
              </w:rPr>
              <w:t>邀請偉菖老師協同「寫作教學」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6A500EEC" w14:textId="77777777" w:rsidR="00652C89" w:rsidRDefault="00652C89" w:rsidP="00652C89">
            <w:pPr>
              <w:pStyle w:val="Default"/>
              <w:ind w:leftChars="100" w:left="24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臨床教學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朱書萱老師</w:t>
            </w:r>
            <w:r>
              <w:rPr>
                <w:rFonts w:hAnsi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視疫情而定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1C5950DF" w14:textId="77777777" w:rsidR="00652C89" w:rsidRDefault="00652C89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討論專書著作</w:t>
            </w:r>
          </w:p>
          <w:p w14:paraId="39FF2F7B" w14:textId="185CE123" w:rsidR="00652C89" w:rsidRDefault="00652C89" w:rsidP="00652C89">
            <w:pPr>
              <w:pStyle w:val="Default"/>
              <w:ind w:leftChars="100" w:left="240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討論專書體例</w:t>
            </w:r>
          </w:p>
          <w:p w14:paraId="0DCD6065" w14:textId="77777777" w:rsidR="00652C89" w:rsidRDefault="00652C89" w:rsidP="00652C89">
            <w:pPr>
              <w:pStyle w:val="Default"/>
              <w:ind w:leftChars="200" w:left="48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(1)</w:t>
            </w:r>
            <w:r>
              <w:rPr>
                <w:rFonts w:hAnsi="Times New Roman" w:hint="eastAsia"/>
                <w:sz w:val="23"/>
                <w:szCs w:val="23"/>
              </w:rPr>
              <w:t>本專書名稱須請師長們再協助構思，而本專書內涵較偏向「課程之實務設計」。</w:t>
            </w:r>
          </w:p>
          <w:p w14:paraId="1AF7CCF3" w14:textId="77777777" w:rsidR="00652C89" w:rsidRDefault="00652C89" w:rsidP="00652C89">
            <w:pPr>
              <w:pStyle w:val="Default"/>
              <w:ind w:leftChars="200" w:left="4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(2)</w:t>
            </w:r>
            <w:r>
              <w:rPr>
                <w:rFonts w:hAnsi="Times New Roman" w:hint="eastAsia"/>
                <w:sz w:val="23"/>
                <w:szCs w:val="23"/>
              </w:rPr>
              <w:t>下次會議討論各篇章名稱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或待定稿後再決定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18831266" w14:textId="0255AB8E" w:rsidR="00652C89" w:rsidRDefault="00652C89" w:rsidP="00652C89">
            <w:pPr>
              <w:pStyle w:val="Default"/>
              <w:ind w:leftChars="100" w:left="240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確定專書體例</w:t>
            </w:r>
          </w:p>
          <w:p w14:paraId="7765A014" w14:textId="77777777" w:rsidR="00652C89" w:rsidRDefault="00652C89" w:rsidP="00652C89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本專書著作權歸屬於作者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出版權責歸於教育部，並建議每章節兩萬字以內</w:t>
            </w:r>
          </w:p>
          <w:p w14:paraId="10BB14FB" w14:textId="77777777" w:rsidR="00652C89" w:rsidRDefault="00652C89" w:rsidP="00652C89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專書篇章安排的參考範例：《聽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鯨在唱歌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素養導向國語文教學設計實務》與《國小國語</w:t>
            </w:r>
          </w:p>
          <w:p w14:paraId="2304D146" w14:textId="036DD5D1" w:rsidR="00652C89" w:rsidRDefault="00652C89" w:rsidP="00652C89">
            <w:pPr>
              <w:pStyle w:val="Default"/>
              <w:ind w:leftChars="100" w:left="240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hAnsi="Times New Roman" w:hint="eastAsia"/>
                <w:sz w:val="23"/>
                <w:szCs w:val="23"/>
              </w:rPr>
              <w:t>文教材教法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(108</w:t>
            </w:r>
            <w:r>
              <w:rPr>
                <w:rFonts w:hAnsi="Times New Roman" w:hint="eastAsia"/>
                <w:sz w:val="23"/>
                <w:szCs w:val="23"/>
              </w:rPr>
              <w:t>課綱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》</w:t>
            </w:r>
          </w:p>
        </w:tc>
      </w:tr>
    </w:tbl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4611"/>
        <w:gridCol w:w="5171"/>
      </w:tblGrid>
      <w:tr w:rsidR="00652C89" w14:paraId="7B81E449" w14:textId="77777777" w:rsidTr="00652C89">
        <w:tc>
          <w:tcPr>
            <w:tcW w:w="4821" w:type="dxa"/>
          </w:tcPr>
          <w:p w14:paraId="71FB442A" w14:textId="31917E5D" w:rsidR="00652C89" w:rsidRPr="00115210" w:rsidRDefault="00652C89" w:rsidP="00652C89">
            <w:pPr>
              <w:pStyle w:val="Default"/>
              <w:spacing w:before="240"/>
              <w:jc w:val="center"/>
              <w:rPr>
                <w:rFonts w:hAnsi="標楷體"/>
                <w:sz w:val="28"/>
                <w:szCs w:val="28"/>
              </w:rPr>
            </w:pPr>
            <w:r w:rsidRPr="00115210">
              <w:rPr>
                <w:rFonts w:hAnsi="標楷體" w:hint="eastAsia"/>
                <w:sz w:val="28"/>
                <w:szCs w:val="28"/>
              </w:rPr>
              <w:lastRenderedPageBreak/>
              <w:t>專業社群會議（</w:t>
            </w:r>
            <w:r>
              <w:rPr>
                <w:rFonts w:hAnsi="標楷體" w:hint="eastAsia"/>
                <w:sz w:val="28"/>
                <w:szCs w:val="28"/>
              </w:rPr>
              <w:t>六</w:t>
            </w:r>
            <w:r w:rsidRPr="00115210">
              <w:rPr>
                <w:rFonts w:hAnsi="標楷體" w:hint="eastAsia"/>
                <w:sz w:val="28"/>
                <w:szCs w:val="28"/>
              </w:rPr>
              <w:t>）照片說明</w:t>
            </w:r>
            <w:r w:rsidRPr="00115210">
              <w:rPr>
                <w:rFonts w:hAnsi="標楷體"/>
                <w:sz w:val="28"/>
                <w:szCs w:val="28"/>
              </w:rPr>
              <w:t>:</w:t>
            </w:r>
          </w:p>
          <w:p w14:paraId="4F72E83B" w14:textId="77777777" w:rsidR="00652C89" w:rsidRDefault="00652C89" w:rsidP="00652C89">
            <w:pPr>
              <w:spacing w:befor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本次會議採視訊會議</w:t>
            </w:r>
          </w:p>
        </w:tc>
        <w:tc>
          <w:tcPr>
            <w:tcW w:w="4961" w:type="dxa"/>
          </w:tcPr>
          <w:p w14:paraId="06440BB5" w14:textId="4F389036" w:rsidR="00652C89" w:rsidRDefault="00652C89" w:rsidP="00652C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52C89">
              <w:rPr>
                <w:rFonts w:ascii="標楷體" w:eastAsia="標楷體" w:hAnsi="標楷體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61E7E078" wp14:editId="245306AD">
                  <wp:simplePos x="0" y="0"/>
                  <wp:positionH relativeFrom="column">
                    <wp:posOffset>2491</wp:posOffset>
                  </wp:positionH>
                  <wp:positionV relativeFrom="paragraph">
                    <wp:posOffset>0</wp:posOffset>
                  </wp:positionV>
                  <wp:extent cx="3146474" cy="1767840"/>
                  <wp:effectExtent l="0" t="0" r="0" b="3810"/>
                  <wp:wrapTight wrapText="bothSides">
                    <wp:wrapPolygon edited="0">
                      <wp:start x="0" y="0"/>
                      <wp:lineTo x="0" y="21414"/>
                      <wp:lineTo x="21447" y="21414"/>
                      <wp:lineTo x="21447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96" cy="176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636EAD" w14:textId="77777777" w:rsidR="00B47F68" w:rsidRPr="00652C89" w:rsidRDefault="00B47F68"/>
    <w:sectPr w:rsidR="00B47F68" w:rsidRPr="00652C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D0A1" w14:textId="77777777" w:rsidR="00782238" w:rsidRDefault="00782238" w:rsidP="00652C89">
      <w:r>
        <w:separator/>
      </w:r>
    </w:p>
  </w:endnote>
  <w:endnote w:type="continuationSeparator" w:id="0">
    <w:p w14:paraId="15773866" w14:textId="77777777" w:rsidR="00782238" w:rsidRDefault="00782238" w:rsidP="0065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FC13" w14:textId="77777777" w:rsidR="00782238" w:rsidRDefault="00782238" w:rsidP="00652C89">
      <w:r>
        <w:separator/>
      </w:r>
    </w:p>
  </w:footnote>
  <w:footnote w:type="continuationSeparator" w:id="0">
    <w:p w14:paraId="35B757A1" w14:textId="77777777" w:rsidR="00782238" w:rsidRDefault="00782238" w:rsidP="0065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2E"/>
    <w:rsid w:val="00386168"/>
    <w:rsid w:val="00652C89"/>
    <w:rsid w:val="00782238"/>
    <w:rsid w:val="00990D2E"/>
    <w:rsid w:val="00B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D6C9F"/>
  <w15:chartTrackingRefBased/>
  <w15:docId w15:val="{EF685AD3-D578-4EC7-A975-75231E2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8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652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2C8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2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2C89"/>
    <w:rPr>
      <w:sz w:val="20"/>
      <w:szCs w:val="20"/>
    </w:rPr>
  </w:style>
  <w:style w:type="paragraph" w:customStyle="1" w:styleId="Default">
    <w:name w:val="Default"/>
    <w:rsid w:val="00652C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uiPriority w:val="39"/>
    <w:rsid w:val="0065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2023-02-11T17:29:00Z</dcterms:created>
  <dcterms:modified xsi:type="dcterms:W3CDTF">2023-02-11T17:37:00Z</dcterms:modified>
</cp:coreProperties>
</file>